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855E7" w:rsidP="00512AF2">
      <w:pPr>
        <w:ind w:firstLine="567"/>
        <w:jc w:val="right"/>
        <w:rPr>
          <w:sz w:val="25"/>
          <w:szCs w:val="25"/>
        </w:rPr>
      </w:pPr>
      <w:r w:rsidRPr="002855E7">
        <w:rPr>
          <w:sz w:val="25"/>
          <w:szCs w:val="25"/>
        </w:rPr>
        <w:t xml:space="preserve">УИД </w:t>
      </w:r>
      <w:r w:rsidRPr="002855E7" w:rsidR="006D2B0C">
        <w:rPr>
          <w:bCs/>
          <w:sz w:val="25"/>
          <w:szCs w:val="25"/>
        </w:rPr>
        <w:t>86MS00</w:t>
      </w:r>
      <w:r w:rsidRPr="002855E7" w:rsidR="00C21568">
        <w:rPr>
          <w:bCs/>
          <w:sz w:val="25"/>
          <w:szCs w:val="25"/>
        </w:rPr>
        <w:t>2</w:t>
      </w:r>
      <w:r w:rsidRPr="002855E7" w:rsidR="00762C46">
        <w:rPr>
          <w:bCs/>
          <w:sz w:val="25"/>
          <w:szCs w:val="25"/>
        </w:rPr>
        <w:t>3</w:t>
      </w:r>
      <w:r w:rsidRPr="002855E7" w:rsidR="00C21568">
        <w:rPr>
          <w:bCs/>
          <w:sz w:val="25"/>
          <w:szCs w:val="25"/>
        </w:rPr>
        <w:t>-01-202</w:t>
      </w:r>
      <w:r w:rsidRPr="002855E7" w:rsidR="004A6D17">
        <w:rPr>
          <w:bCs/>
          <w:sz w:val="25"/>
          <w:szCs w:val="25"/>
        </w:rPr>
        <w:t>5</w:t>
      </w:r>
      <w:r w:rsidRPr="002855E7" w:rsidR="00C21568">
        <w:rPr>
          <w:bCs/>
          <w:sz w:val="25"/>
          <w:szCs w:val="25"/>
        </w:rPr>
        <w:t>-</w:t>
      </w:r>
      <w:r w:rsidRPr="002855E7" w:rsidR="007A36CA">
        <w:rPr>
          <w:bCs/>
          <w:sz w:val="25"/>
          <w:szCs w:val="25"/>
        </w:rPr>
        <w:t>00</w:t>
      </w:r>
      <w:r w:rsidR="006A3082">
        <w:rPr>
          <w:bCs/>
          <w:sz w:val="25"/>
          <w:szCs w:val="25"/>
        </w:rPr>
        <w:t>0</w:t>
      </w:r>
      <w:r w:rsidR="00C3049D">
        <w:rPr>
          <w:bCs/>
          <w:sz w:val="25"/>
          <w:szCs w:val="25"/>
        </w:rPr>
        <w:t>41</w:t>
      </w:r>
      <w:r w:rsidR="007563E1">
        <w:rPr>
          <w:bCs/>
          <w:sz w:val="25"/>
          <w:szCs w:val="25"/>
        </w:rPr>
        <w:t>8</w:t>
      </w:r>
      <w:r w:rsidRPr="002855E7" w:rsidR="006D2B0C">
        <w:rPr>
          <w:bCs/>
          <w:sz w:val="25"/>
          <w:szCs w:val="25"/>
        </w:rPr>
        <w:t>-</w:t>
      </w:r>
      <w:r w:rsidR="00C3049D">
        <w:rPr>
          <w:bCs/>
          <w:sz w:val="25"/>
          <w:szCs w:val="25"/>
        </w:rPr>
        <w:t>5</w:t>
      </w:r>
      <w:r w:rsidR="007563E1">
        <w:rPr>
          <w:bCs/>
          <w:sz w:val="25"/>
          <w:szCs w:val="25"/>
        </w:rPr>
        <w:t>9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C3049D">
        <w:rPr>
          <w:sz w:val="25"/>
          <w:szCs w:val="25"/>
        </w:rPr>
        <w:t>12</w:t>
      </w:r>
      <w:r w:rsidR="007563E1">
        <w:rPr>
          <w:sz w:val="25"/>
          <w:szCs w:val="25"/>
        </w:rPr>
        <w:t>1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 w:rsidRPr="00C3049D">
        <w:rPr>
          <w:sz w:val="25"/>
          <w:szCs w:val="25"/>
        </w:rPr>
        <w:t>с участием лица, привлекаемого к административной ответственности Погосян</w:t>
      </w:r>
      <w:r w:rsidR="00614E34">
        <w:rPr>
          <w:sz w:val="25"/>
          <w:szCs w:val="25"/>
        </w:rPr>
        <w:t>а</w:t>
      </w:r>
      <w:r w:rsidRPr="00C3049D">
        <w:rPr>
          <w:sz w:val="25"/>
          <w:szCs w:val="25"/>
        </w:rPr>
        <w:t xml:space="preserve"> М.Р.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Pr="00C3049D" w:rsidR="00C3049D">
        <w:rPr>
          <w:sz w:val="25"/>
          <w:szCs w:val="25"/>
        </w:rPr>
        <w:t xml:space="preserve">Погосяна Мушега Рафиковича </w:t>
      </w:r>
      <w:r w:rsidR="00EB3E81">
        <w:rPr>
          <w:sz w:val="25"/>
          <w:szCs w:val="25"/>
        </w:rPr>
        <w:t>***</w:t>
      </w:r>
      <w:r w:rsidRPr="00C3049D" w:rsidR="00C3049D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 xml:space="preserve">привлекаемого к административной ответственности за совершение административного правонарушения, предусмотренного частью 1 статьей 20.25 Кодекса Российской Федерации об административных правонарушениях (далее по тексту КоАП РФ), ранее </w:t>
      </w:r>
      <w:r w:rsidR="007563E1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 xml:space="preserve">привлекавшегося к </w:t>
      </w:r>
      <w:r w:rsidRPr="002855E7">
        <w:rPr>
          <w:sz w:val="25"/>
          <w:szCs w:val="25"/>
        </w:rPr>
        <w:t>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 w:rsidRPr="00C3049D">
        <w:rPr>
          <w:sz w:val="25"/>
          <w:szCs w:val="25"/>
        </w:rPr>
        <w:t>Погосян М.Р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="001415AC">
        <w:rPr>
          <w:sz w:val="25"/>
          <w:szCs w:val="25"/>
        </w:rPr>
        <w:t>2</w:t>
      </w:r>
      <w:r>
        <w:rPr>
          <w:sz w:val="25"/>
          <w:szCs w:val="25"/>
        </w:rPr>
        <w:t>0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2855E7" w:rsidR="009620B8">
        <w:rPr>
          <w:sz w:val="25"/>
          <w:szCs w:val="25"/>
        </w:rPr>
        <w:t xml:space="preserve"> 202</w:t>
      </w:r>
      <w:r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EB3E81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08 июня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2 </w:t>
      </w:r>
      <w:r w:rsidRPr="002855E7" w:rsidR="00B8089A">
        <w:rPr>
          <w:sz w:val="25"/>
          <w:szCs w:val="25"/>
        </w:rPr>
        <w:t>ст. 12.</w:t>
      </w:r>
      <w:r>
        <w:rPr>
          <w:sz w:val="25"/>
          <w:szCs w:val="25"/>
        </w:rPr>
        <w:t>37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="007563E1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                              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>
        <w:rPr>
          <w:sz w:val="25"/>
          <w:szCs w:val="25"/>
        </w:rPr>
        <w:t>0</w:t>
      </w:r>
      <w:r w:rsidRPr="002855E7" w:rsidR="004A6D17">
        <w:rPr>
          <w:sz w:val="25"/>
          <w:szCs w:val="25"/>
        </w:rPr>
        <w:t>862</w:t>
      </w:r>
      <w:r>
        <w:rPr>
          <w:sz w:val="25"/>
          <w:szCs w:val="25"/>
        </w:rPr>
        <w:t>20</w:t>
      </w:r>
      <w:r w:rsidR="001415AC">
        <w:rPr>
          <w:sz w:val="25"/>
          <w:szCs w:val="25"/>
        </w:rPr>
        <w:t>0</w:t>
      </w:r>
      <w:r>
        <w:rPr>
          <w:sz w:val="25"/>
          <w:szCs w:val="25"/>
        </w:rPr>
        <w:t>037939</w:t>
      </w:r>
      <w:r w:rsidR="007563E1">
        <w:rPr>
          <w:sz w:val="25"/>
          <w:szCs w:val="25"/>
        </w:rPr>
        <w:t>66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C3049D">
        <w:rPr>
          <w:color w:val="000000" w:themeColor="text1"/>
          <w:sz w:val="25"/>
          <w:szCs w:val="25"/>
        </w:rPr>
        <w:t>В судебн</w:t>
      </w:r>
      <w:r w:rsidRPr="00C3049D">
        <w:rPr>
          <w:color w:val="000000" w:themeColor="text1"/>
          <w:sz w:val="25"/>
          <w:szCs w:val="25"/>
        </w:rPr>
        <w:t>ом заседании Погосян М.Р</w:t>
      </w:r>
      <w:r w:rsidRPr="00890067">
        <w:rPr>
          <w:color w:val="000000" w:themeColor="text1"/>
          <w:sz w:val="25"/>
          <w:szCs w:val="25"/>
        </w:rPr>
        <w:t>.</w:t>
      </w:r>
      <w:r w:rsidRPr="00C3049D">
        <w:rPr>
          <w:color w:val="000000" w:themeColor="text1"/>
          <w:sz w:val="25"/>
          <w:szCs w:val="25"/>
        </w:rPr>
        <w:t xml:space="preserve"> признал свою вину в совершении правонарушения</w:t>
      </w:r>
      <w:r w:rsidR="00614E34">
        <w:rPr>
          <w:color w:val="000000" w:themeColor="text1"/>
          <w:sz w:val="25"/>
          <w:szCs w:val="25"/>
        </w:rPr>
        <w:t>,</w:t>
      </w:r>
      <w:r>
        <w:rPr>
          <w:color w:val="000000" w:themeColor="text1"/>
          <w:sz w:val="25"/>
          <w:szCs w:val="25"/>
        </w:rPr>
        <w:t xml:space="preserve"> предоставил копию квитанции </w:t>
      </w:r>
      <w:r w:rsidR="00614E34">
        <w:rPr>
          <w:color w:val="000000" w:themeColor="text1"/>
          <w:sz w:val="25"/>
          <w:szCs w:val="25"/>
        </w:rPr>
        <w:t>о взыскании</w:t>
      </w:r>
      <w:r>
        <w:rPr>
          <w:color w:val="000000" w:themeColor="text1"/>
          <w:sz w:val="25"/>
          <w:szCs w:val="25"/>
        </w:rPr>
        <w:t xml:space="preserve"> штрафа по исполнительному производству №</w:t>
      </w:r>
      <w:r w:rsidR="007563E1">
        <w:rPr>
          <w:color w:val="000000" w:themeColor="text1"/>
          <w:sz w:val="25"/>
          <w:szCs w:val="25"/>
        </w:rPr>
        <w:t xml:space="preserve"> 127717/24/86013-ИП, в размере 5</w:t>
      </w:r>
      <w:r>
        <w:rPr>
          <w:color w:val="000000" w:themeColor="text1"/>
          <w:sz w:val="25"/>
          <w:szCs w:val="25"/>
        </w:rPr>
        <w:t>00 рублей от 13 февраля 2025 года</w:t>
      </w:r>
      <w:r w:rsidRPr="00890067">
        <w:rPr>
          <w:color w:val="000000" w:themeColor="text1"/>
          <w:sz w:val="25"/>
          <w:szCs w:val="25"/>
        </w:rPr>
        <w:t>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CE523C" w:rsidR="00CE523C">
        <w:rPr>
          <w:color w:val="000000" w:themeColor="text1"/>
          <w:sz w:val="25"/>
          <w:szCs w:val="25"/>
        </w:rPr>
        <w:t>Погосян</w:t>
      </w:r>
      <w:r w:rsidR="00DF6847">
        <w:rPr>
          <w:color w:val="000000" w:themeColor="text1"/>
          <w:sz w:val="25"/>
          <w:szCs w:val="25"/>
        </w:rPr>
        <w:t>а</w:t>
      </w:r>
      <w:r w:rsidRPr="00CE523C" w:rsidR="00CE523C">
        <w:rPr>
          <w:color w:val="000000" w:themeColor="text1"/>
          <w:sz w:val="25"/>
          <w:szCs w:val="25"/>
        </w:rPr>
        <w:t xml:space="preserve"> М.Р</w:t>
      </w:r>
      <w:r w:rsidRPr="00890067">
        <w:rPr>
          <w:color w:val="000000" w:themeColor="text1"/>
          <w:sz w:val="25"/>
          <w:szCs w:val="25"/>
        </w:rPr>
        <w:t xml:space="preserve">. и </w:t>
      </w:r>
      <w:r w:rsidRPr="00890067">
        <w:rPr>
          <w:color w:val="000000" w:themeColor="text1"/>
          <w:sz w:val="25"/>
          <w:szCs w:val="25"/>
        </w:rPr>
        <w:t>причастность его к совершению правонарушения в полном объёме подтверждается совокупностью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CE523C">
        <w:rPr>
          <w:sz w:val="25"/>
          <w:szCs w:val="25"/>
        </w:rPr>
        <w:t>66139</w:t>
      </w:r>
      <w:r w:rsidR="007563E1">
        <w:rPr>
          <w:sz w:val="25"/>
          <w:szCs w:val="25"/>
        </w:rPr>
        <w:t>7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1415AC">
        <w:rPr>
          <w:sz w:val="25"/>
          <w:szCs w:val="25"/>
        </w:rPr>
        <w:t>1</w:t>
      </w:r>
      <w:r w:rsidR="00CE523C">
        <w:rPr>
          <w:sz w:val="25"/>
          <w:szCs w:val="25"/>
        </w:rPr>
        <w:t>2</w:t>
      </w:r>
      <w:r w:rsidRPr="002855E7" w:rsidR="00E655CB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>февраля</w:t>
      </w:r>
      <w:r w:rsidRPr="002855E7" w:rsidR="00463F15">
        <w:rPr>
          <w:sz w:val="25"/>
          <w:szCs w:val="25"/>
        </w:rPr>
        <w:t xml:space="preserve"> 202</w:t>
      </w:r>
      <w:r w:rsidR="001415AC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CE523C" w:rsidR="00CE523C">
        <w:rPr>
          <w:sz w:val="25"/>
          <w:szCs w:val="25"/>
        </w:rPr>
        <w:t>188100862200037939</w:t>
      </w:r>
      <w:r w:rsidR="007563E1">
        <w:rPr>
          <w:sz w:val="25"/>
          <w:szCs w:val="25"/>
        </w:rPr>
        <w:t>66</w:t>
      </w:r>
      <w:r w:rsidRPr="002855E7" w:rsidR="00341F67">
        <w:rPr>
          <w:sz w:val="25"/>
          <w:szCs w:val="25"/>
        </w:rPr>
        <w:t xml:space="preserve"> от </w:t>
      </w:r>
      <w:r w:rsidR="00CE523C">
        <w:rPr>
          <w:sz w:val="25"/>
          <w:szCs w:val="25"/>
        </w:rPr>
        <w:t>0</w:t>
      </w:r>
      <w:r w:rsidRPr="001415AC" w:rsidR="001415AC">
        <w:rPr>
          <w:sz w:val="25"/>
          <w:szCs w:val="25"/>
        </w:rPr>
        <w:t xml:space="preserve">8 </w:t>
      </w:r>
      <w:r w:rsidR="00CE523C">
        <w:rPr>
          <w:sz w:val="25"/>
          <w:szCs w:val="25"/>
        </w:rPr>
        <w:t>июня</w:t>
      </w:r>
      <w:r w:rsidRPr="001415AC" w:rsidR="001415AC">
        <w:rPr>
          <w:sz w:val="25"/>
          <w:szCs w:val="25"/>
        </w:rPr>
        <w:t xml:space="preserve"> 2024 </w:t>
      </w:r>
      <w:r w:rsidRPr="002855E7">
        <w:rPr>
          <w:sz w:val="25"/>
          <w:szCs w:val="25"/>
        </w:rPr>
        <w:t>года по</w:t>
      </w:r>
      <w:r w:rsidRPr="002855E7" w:rsidR="004A6D17">
        <w:rPr>
          <w:sz w:val="25"/>
          <w:szCs w:val="25"/>
        </w:rPr>
        <w:t xml:space="preserve"> ч. </w:t>
      </w:r>
      <w:r w:rsidR="007563E1">
        <w:rPr>
          <w:sz w:val="25"/>
          <w:szCs w:val="25"/>
        </w:rPr>
        <w:t>1</w:t>
      </w:r>
      <w:r w:rsidRPr="002855E7">
        <w:rPr>
          <w:sz w:val="25"/>
          <w:szCs w:val="25"/>
        </w:rPr>
        <w:t xml:space="preserve"> ст. 12.</w:t>
      </w:r>
      <w:r w:rsidR="00CE523C">
        <w:rPr>
          <w:sz w:val="25"/>
          <w:szCs w:val="25"/>
        </w:rPr>
        <w:t>3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</w:t>
      </w:r>
      <w:r w:rsidRPr="002855E7">
        <w:rPr>
          <w:sz w:val="25"/>
          <w:szCs w:val="25"/>
        </w:rPr>
        <w:t xml:space="preserve">тивному штрафу в размере </w:t>
      </w:r>
      <w:r w:rsidR="007563E1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CE523C">
        <w:rPr>
          <w:sz w:val="25"/>
          <w:szCs w:val="25"/>
        </w:rPr>
        <w:t>1</w:t>
      </w:r>
      <w:r w:rsidR="007563E1">
        <w:rPr>
          <w:sz w:val="25"/>
          <w:szCs w:val="25"/>
        </w:rPr>
        <w:t>9</w:t>
      </w:r>
      <w:r w:rsidRPr="002855E7" w:rsidR="00ED1F13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>июня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CE523C">
        <w:rPr>
          <w:sz w:val="25"/>
          <w:szCs w:val="25"/>
        </w:rPr>
        <w:t>19</w:t>
      </w:r>
      <w:r w:rsidRPr="002855E7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>августа</w:t>
      </w:r>
      <w:r w:rsidRPr="002855E7">
        <w:rPr>
          <w:sz w:val="25"/>
          <w:szCs w:val="25"/>
        </w:rPr>
        <w:t xml:space="preserve"> 202</w:t>
      </w:r>
      <w:r w:rsidR="00CE523C">
        <w:rPr>
          <w:sz w:val="25"/>
          <w:szCs w:val="25"/>
        </w:rPr>
        <w:t>4</w:t>
      </w:r>
      <w:r w:rsidRPr="002855E7">
        <w:rPr>
          <w:sz w:val="25"/>
          <w:szCs w:val="25"/>
        </w:rPr>
        <w:t xml:space="preserve"> года;</w:t>
      </w:r>
    </w:p>
    <w:p w:rsidR="00CE523C" w:rsidP="00CE523C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копией сведений ГИС ГМП данных ФБД Адмпрактика, согласно которым штраф по постановлен</w:t>
      </w:r>
      <w:r w:rsidRPr="002855E7">
        <w:rPr>
          <w:sz w:val="25"/>
          <w:szCs w:val="25"/>
        </w:rPr>
        <w:t xml:space="preserve">ию </w:t>
      </w:r>
      <w:r w:rsidRPr="002855E7">
        <w:rPr>
          <w:bCs/>
          <w:sz w:val="25"/>
          <w:szCs w:val="25"/>
        </w:rPr>
        <w:t xml:space="preserve">№ </w:t>
      </w:r>
      <w:r w:rsidRPr="00CE523C">
        <w:rPr>
          <w:sz w:val="25"/>
          <w:szCs w:val="25"/>
        </w:rPr>
        <w:t>188100862200037939</w:t>
      </w:r>
      <w:r w:rsidR="007563E1">
        <w:rPr>
          <w:sz w:val="25"/>
          <w:szCs w:val="25"/>
        </w:rPr>
        <w:t>66</w:t>
      </w:r>
      <w:r w:rsidRPr="002855E7">
        <w:rPr>
          <w:sz w:val="25"/>
          <w:szCs w:val="25"/>
        </w:rPr>
        <w:t xml:space="preserve"> от </w:t>
      </w:r>
      <w:r>
        <w:rPr>
          <w:sz w:val="25"/>
          <w:szCs w:val="25"/>
        </w:rPr>
        <w:t>08</w:t>
      </w:r>
      <w:r w:rsidRPr="002855E7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июня 2024 года в размере </w:t>
      </w:r>
      <w:r w:rsidR="007563E1">
        <w:rPr>
          <w:sz w:val="25"/>
          <w:szCs w:val="25"/>
        </w:rPr>
        <w:t>5</w:t>
      </w:r>
      <w:r w:rsidRPr="002855E7">
        <w:rPr>
          <w:sz w:val="25"/>
          <w:szCs w:val="25"/>
        </w:rPr>
        <w:t>00 рублей не оплачен</w:t>
      </w:r>
      <w:r>
        <w:rPr>
          <w:sz w:val="25"/>
          <w:szCs w:val="25"/>
        </w:rPr>
        <w:t>;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</w:t>
      </w:r>
      <w:r w:rsidRPr="002855E7" w:rsidR="00CE523C">
        <w:rPr>
          <w:sz w:val="25"/>
          <w:szCs w:val="25"/>
        </w:rPr>
        <w:t xml:space="preserve">карточка учета </w:t>
      </w:r>
      <w:r w:rsidR="00CE523C">
        <w:rPr>
          <w:sz w:val="25"/>
          <w:szCs w:val="25"/>
        </w:rPr>
        <w:t xml:space="preserve">транспортного средства </w:t>
      </w:r>
      <w:r w:rsidRPr="002855E7" w:rsidR="00CE523C">
        <w:rPr>
          <w:sz w:val="25"/>
          <w:szCs w:val="25"/>
        </w:rPr>
        <w:t xml:space="preserve">на имя </w:t>
      </w:r>
      <w:r w:rsidRPr="00CE523C" w:rsidR="00CE523C">
        <w:rPr>
          <w:sz w:val="25"/>
          <w:szCs w:val="25"/>
        </w:rPr>
        <w:t>Погосян М.Р</w:t>
      </w:r>
      <w:r w:rsidRPr="002855E7" w:rsidR="00CE523C">
        <w:rPr>
          <w:sz w:val="25"/>
          <w:szCs w:val="25"/>
        </w:rPr>
        <w:t>.</w:t>
      </w:r>
      <w:r w:rsidR="00CE523C">
        <w:rPr>
          <w:sz w:val="25"/>
          <w:szCs w:val="25"/>
        </w:rPr>
        <w:t xml:space="preserve">, </w:t>
      </w:r>
      <w:r w:rsidRPr="00DF6847" w:rsidR="00DF6847">
        <w:rPr>
          <w:sz w:val="25"/>
          <w:szCs w:val="25"/>
        </w:rPr>
        <w:t>копи</w:t>
      </w:r>
      <w:r w:rsidR="00DF6847">
        <w:rPr>
          <w:sz w:val="25"/>
          <w:szCs w:val="25"/>
        </w:rPr>
        <w:t>я</w:t>
      </w:r>
      <w:r w:rsidRPr="00DF6847" w:rsidR="00DF6847">
        <w:rPr>
          <w:sz w:val="25"/>
          <w:szCs w:val="25"/>
        </w:rPr>
        <w:t xml:space="preserve"> паспорта гражданина Армении</w:t>
      </w:r>
      <w:r w:rsidR="00DF6847">
        <w:rPr>
          <w:sz w:val="25"/>
          <w:szCs w:val="25"/>
        </w:rPr>
        <w:t>,</w:t>
      </w:r>
      <w:r w:rsidRPr="00DF6847" w:rsidR="00DF6847">
        <w:rPr>
          <w:sz w:val="25"/>
          <w:szCs w:val="25"/>
        </w:rPr>
        <w:t xml:space="preserve"> </w:t>
      </w:r>
      <w:r w:rsidR="00CE523C">
        <w:rPr>
          <w:sz w:val="25"/>
          <w:szCs w:val="25"/>
        </w:rPr>
        <w:t xml:space="preserve">копия водительского удостоверения иностранного образца на имя </w:t>
      </w:r>
      <w:r w:rsidRPr="00CE523C" w:rsidR="00CE523C">
        <w:rPr>
          <w:sz w:val="25"/>
          <w:szCs w:val="25"/>
        </w:rPr>
        <w:t>Погосян М.Р</w:t>
      </w:r>
      <w:r w:rsidR="00CE523C">
        <w:rPr>
          <w:sz w:val="25"/>
          <w:szCs w:val="25"/>
        </w:rPr>
        <w:t xml:space="preserve">., копия перевода водительского удостоверения на имя </w:t>
      </w:r>
      <w:r w:rsidRPr="00CE523C" w:rsidR="00CE523C">
        <w:rPr>
          <w:sz w:val="25"/>
          <w:szCs w:val="25"/>
        </w:rPr>
        <w:t>Погосян М.Р</w:t>
      </w:r>
      <w:r w:rsidR="00CE523C">
        <w:rPr>
          <w:sz w:val="25"/>
          <w:szCs w:val="25"/>
        </w:rPr>
        <w:t xml:space="preserve">., </w:t>
      </w:r>
      <w:r w:rsidRPr="00DF6847" w:rsidR="00DF6847">
        <w:rPr>
          <w:sz w:val="25"/>
          <w:szCs w:val="25"/>
        </w:rPr>
        <w:t>копия уведомления о прибытии иностранного гражданина в место пребывания</w:t>
      </w:r>
      <w:r w:rsidR="00DF6847">
        <w:rPr>
          <w:sz w:val="25"/>
          <w:szCs w:val="25"/>
        </w:rPr>
        <w:t xml:space="preserve"> на имя </w:t>
      </w:r>
      <w:r w:rsidRPr="00DF6847" w:rsidR="00DF6847">
        <w:rPr>
          <w:sz w:val="25"/>
          <w:szCs w:val="25"/>
        </w:rPr>
        <w:t>Погосян М.Р</w:t>
      </w:r>
      <w:r w:rsidR="00DF6847">
        <w:rPr>
          <w:sz w:val="25"/>
          <w:szCs w:val="25"/>
        </w:rPr>
        <w:t>.,</w:t>
      </w:r>
      <w:r w:rsidR="00CE523C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параметры поиска правон</w:t>
      </w:r>
      <w:r w:rsidRPr="002855E7">
        <w:rPr>
          <w:sz w:val="25"/>
          <w:szCs w:val="25"/>
        </w:rPr>
        <w:t>арушений</w:t>
      </w:r>
      <w:r w:rsidRPr="002855E7" w:rsidR="00ED1F13">
        <w:rPr>
          <w:sz w:val="25"/>
          <w:szCs w:val="25"/>
        </w:rPr>
        <w:t xml:space="preserve"> на имя </w:t>
      </w:r>
      <w:r w:rsidRPr="00CE523C" w:rsidR="00CE523C">
        <w:rPr>
          <w:sz w:val="25"/>
          <w:szCs w:val="25"/>
        </w:rPr>
        <w:t>Погосян М.Р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 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Указанные доказательства оценены мировым судьей в соответствии с правилами ст. 26.11 Кодекса Российской Федерации об административных правонарушениях и признаются </w:t>
      </w:r>
      <w:r w:rsidRPr="002855E7">
        <w:rPr>
          <w:sz w:val="25"/>
          <w:szCs w:val="25"/>
        </w:rPr>
        <w:t>допустимыми, достоверными и достаточными для вывода о наличии в</w:t>
      </w:r>
      <w:r w:rsidRPr="002855E7">
        <w:rPr>
          <w:sz w:val="25"/>
          <w:szCs w:val="25"/>
        </w:rPr>
        <w:t xml:space="preserve"> действиях </w:t>
      </w:r>
      <w:r w:rsidRPr="00DF6847" w:rsidR="00DF6847">
        <w:rPr>
          <w:sz w:val="25"/>
          <w:szCs w:val="25"/>
        </w:rPr>
        <w:t>Погосян М.Р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</w:t>
      </w:r>
      <w:r w:rsidRPr="002855E7">
        <w:rPr>
          <w:sz w:val="25"/>
          <w:szCs w:val="25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</w:t>
      </w:r>
      <w:r w:rsidRPr="002855E7">
        <w:rPr>
          <w:sz w:val="25"/>
          <w:szCs w:val="25"/>
        </w:rPr>
        <w:t>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выписка из программного обеспечения </w:t>
      </w:r>
      <w:r w:rsidRPr="002855E7" w:rsidR="00DF6847">
        <w:rPr>
          <w:sz w:val="25"/>
          <w:szCs w:val="25"/>
        </w:rPr>
        <w:t>ГИС ГМП,</w:t>
      </w:r>
      <w:r w:rsidR="00DF6847">
        <w:rPr>
          <w:sz w:val="25"/>
          <w:szCs w:val="25"/>
        </w:rPr>
        <w:t xml:space="preserve"> и предоставленная копия квитанции об оплате</w:t>
      </w:r>
      <w:r w:rsidRPr="002855E7">
        <w:rPr>
          <w:sz w:val="25"/>
          <w:szCs w:val="25"/>
        </w:rPr>
        <w:t xml:space="preserve">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штрафа в размере </w:t>
      </w:r>
      <w:r w:rsidR="007563E1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="00DF6847">
        <w:rPr>
          <w:sz w:val="25"/>
          <w:szCs w:val="25"/>
        </w:rPr>
        <w:t xml:space="preserve"> в установленный срок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DF6847" w:rsidR="00DF6847">
        <w:rPr>
          <w:sz w:val="25"/>
          <w:szCs w:val="25"/>
        </w:rPr>
        <w:t>Погосян</w:t>
      </w:r>
      <w:r w:rsidR="00DF6847">
        <w:rPr>
          <w:sz w:val="25"/>
          <w:szCs w:val="25"/>
        </w:rPr>
        <w:t>а</w:t>
      </w:r>
      <w:r w:rsidRPr="00DF6847" w:rsidR="00DF6847">
        <w:rPr>
          <w:sz w:val="25"/>
          <w:szCs w:val="25"/>
        </w:rPr>
        <w:t xml:space="preserve"> М.Р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2855E7" w:rsidRPr="002855E7" w:rsidP="002855E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DF6847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производство по делу об адм</w:t>
      </w:r>
      <w:r w:rsidRPr="00DF6847">
        <w:rPr>
          <w:sz w:val="25"/>
          <w:szCs w:val="25"/>
        </w:rPr>
        <w:t xml:space="preserve">инистративном правонарушении, наличие обстоятельства, смягчающего административную ответственность, предусмотренного ст. 4.2 КоАП РФ – раскаяние, которое выражено в признании вины, </w:t>
      </w:r>
      <w:r w:rsidR="007563E1">
        <w:rPr>
          <w:sz w:val="25"/>
          <w:szCs w:val="25"/>
        </w:rPr>
        <w:t>отсутствие</w:t>
      </w:r>
      <w:r w:rsidRPr="00DF6847">
        <w:rPr>
          <w:sz w:val="25"/>
          <w:szCs w:val="25"/>
        </w:rPr>
        <w:t xml:space="preserve"> обстоятельств, отягчающих административную ответственность, пред</w:t>
      </w:r>
      <w:r w:rsidRPr="00DF6847">
        <w:rPr>
          <w:sz w:val="25"/>
          <w:szCs w:val="25"/>
        </w:rPr>
        <w:t>усмотренных ст. 4.3 КоАП РФ, мировой судья считает возможным и целесообразным назначить Погосян</w:t>
      </w:r>
      <w:r>
        <w:rPr>
          <w:sz w:val="25"/>
          <w:szCs w:val="25"/>
        </w:rPr>
        <w:t>у</w:t>
      </w:r>
      <w:r w:rsidRPr="00DF6847">
        <w:rPr>
          <w:sz w:val="25"/>
          <w:szCs w:val="25"/>
        </w:rPr>
        <w:t xml:space="preserve"> М.Р. наказание в виде административного штрафа.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DF6847" w:rsidR="00DF6847">
        <w:rPr>
          <w:sz w:val="25"/>
          <w:szCs w:val="25"/>
        </w:rPr>
        <w:t xml:space="preserve">Погосяна Мушега Рафиковича </w:t>
      </w:r>
      <w:r w:rsidRPr="002855E7">
        <w:rPr>
          <w:sz w:val="25"/>
          <w:szCs w:val="25"/>
        </w:rPr>
        <w:t>вино</w:t>
      </w:r>
      <w:r w:rsidRPr="002855E7">
        <w:rPr>
          <w:sz w:val="25"/>
          <w:szCs w:val="25"/>
        </w:rPr>
        <w:t xml:space="preserve">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="007563E1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Получатель: </w:t>
      </w:r>
      <w:r w:rsidRPr="002855E7">
        <w:rPr>
          <w:sz w:val="25"/>
          <w:szCs w:val="25"/>
        </w:rPr>
        <w:t>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счёт (ЕКС): 40102810245370000007, Банк: РКЦ Ханты-Ма</w:t>
      </w:r>
      <w:r w:rsidRPr="002855E7">
        <w:rPr>
          <w:sz w:val="25"/>
          <w:szCs w:val="25"/>
        </w:rPr>
        <w:t xml:space="preserve">нсийск//УФК по ХМАО – Югре г. Ханты-Мансийск, БИК 007162163 ИНН 8601073664, КПП 860101001, </w:t>
      </w:r>
    </w:p>
    <w:p w:rsidR="004B7F4A" w:rsidRPr="002855E7" w:rsidP="002A08F0">
      <w:pPr>
        <w:jc w:val="both"/>
        <w:rPr>
          <w:sz w:val="25"/>
          <w:szCs w:val="25"/>
        </w:rPr>
      </w:pPr>
      <w:r w:rsidRPr="002855E7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1852578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855E7">
        <w:rPr>
          <w:sz w:val="25"/>
          <w:szCs w:val="25"/>
        </w:rPr>
        <w:t xml:space="preserve">УИН </w:t>
      </w:r>
      <w:r w:rsidRPr="00AA7A27" w:rsidR="00AA7A27">
        <w:rPr>
          <w:sz w:val="25"/>
          <w:szCs w:val="25"/>
        </w:rPr>
        <w:t>0412365400235001212520187</w:t>
      </w:r>
      <w:r w:rsidRPr="002855E7">
        <w:rPr>
          <w:sz w:val="25"/>
          <w:szCs w:val="25"/>
        </w:rPr>
        <w:t xml:space="preserve">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КБК 72011601203019000140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>ОКТМО 71884000</w:t>
      </w:r>
    </w:p>
    <w:p w:rsidR="002A08F0" w:rsidRPr="002855E7" w:rsidP="002A08F0">
      <w:pPr>
        <w:jc w:val="both"/>
        <w:rPr>
          <w:sz w:val="25"/>
          <w:szCs w:val="25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>-код для оплаты административного штрафа.</w:t>
      </w:r>
      <w:r w:rsidRPr="002855E7">
        <w:rPr>
          <w:sz w:val="25"/>
          <w:szCs w:val="25"/>
        </w:rPr>
        <w:tab/>
        <w:t xml:space="preserve"> </w:t>
      </w:r>
      <w:r w:rsidRPr="002855E7">
        <w:rPr>
          <w:sz w:val="25"/>
          <w:szCs w:val="25"/>
        </w:rPr>
        <w:tab/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ind w:firstLine="708"/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855E7">
        <w:rPr>
          <w:sz w:val="25"/>
          <w:szCs w:val="25"/>
          <w:lang w:val="en-US"/>
        </w:rPr>
        <w:t>QR</w:t>
      </w:r>
      <w:r w:rsidRPr="002855E7">
        <w:rPr>
          <w:sz w:val="25"/>
          <w:szCs w:val="25"/>
        </w:rPr>
        <w:t xml:space="preserve">-код. </w:t>
      </w:r>
    </w:p>
    <w:p w:rsidR="00D95DF2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855E7">
        <w:rPr>
          <w:sz w:val="25"/>
          <w:szCs w:val="25"/>
        </w:rPr>
        <w:t>подлежат самостоятельному заполнению следующие позиции</w:t>
      </w:r>
      <w:r w:rsidRPr="002855E7">
        <w:rPr>
          <w:rFonts w:eastAsia="Calibri"/>
          <w:sz w:val="25"/>
          <w:szCs w:val="25"/>
          <w:lang w:eastAsia="en-US"/>
        </w:rPr>
        <w:t>: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2855E7" w:rsidP="002A08F0">
      <w:pPr>
        <w:jc w:val="both"/>
        <w:rPr>
          <w:rFonts w:eastAsia="Calibri"/>
          <w:sz w:val="25"/>
          <w:szCs w:val="25"/>
          <w:lang w:eastAsia="en-US"/>
        </w:rPr>
      </w:pPr>
      <w:r w:rsidRPr="002855E7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AA7A27" w:rsidR="00AA7A27">
        <w:rPr>
          <w:sz w:val="25"/>
          <w:szCs w:val="25"/>
        </w:rPr>
        <w:t>0412365400235001212520187</w:t>
      </w:r>
      <w:r w:rsidRPr="002855E7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ОКТМО (</w:t>
      </w:r>
      <w:r w:rsidRPr="002855E7">
        <w:rPr>
          <w:sz w:val="25"/>
          <w:szCs w:val="25"/>
        </w:rPr>
        <w:t>71884000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- код бюджетной 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DF6847">
        <w:rPr>
          <w:sz w:val="25"/>
          <w:szCs w:val="25"/>
        </w:rPr>
        <w:t>12</w:t>
      </w:r>
      <w:r w:rsidR="00AA7A27">
        <w:rPr>
          <w:sz w:val="25"/>
          <w:szCs w:val="25"/>
        </w:rPr>
        <w:t>1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1F3563">
        <w:rPr>
          <w:sz w:val="25"/>
          <w:szCs w:val="25"/>
        </w:rPr>
        <w:t>17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="007563E1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</w:t>
      </w:r>
      <w:r w:rsidRPr="002855E7">
        <w:rPr>
          <w:sz w:val="25"/>
          <w:szCs w:val="25"/>
        </w:rPr>
        <w:t>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административного штрафа в двукратном размере суммы неуплаченного административного штрафа, либо адми</w:t>
      </w:r>
      <w:r w:rsidRPr="002855E7">
        <w:rPr>
          <w:sz w:val="25"/>
          <w:szCs w:val="25"/>
        </w:rPr>
        <w:t xml:space="preserve">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 xml:space="preserve">Мировой судья: </w:t>
      </w:r>
      <w:r w:rsidRPr="002855E7">
        <w:rPr>
          <w:sz w:val="25"/>
          <w:szCs w:val="25"/>
        </w:rPr>
        <w:t>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DF6847">
        <w:rPr>
          <w:sz w:val="16"/>
          <w:szCs w:val="16"/>
        </w:rPr>
        <w:t>12</w:t>
      </w:r>
      <w:r w:rsidR="00AA7A27">
        <w:rPr>
          <w:sz w:val="16"/>
          <w:szCs w:val="16"/>
        </w:rPr>
        <w:t>1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3E81">
          <w:rPr>
            <w:noProof/>
          </w:rPr>
          <w:t>3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13BA6"/>
    <w:rsid w:val="0013018C"/>
    <w:rsid w:val="001415AC"/>
    <w:rsid w:val="001460AC"/>
    <w:rsid w:val="00163735"/>
    <w:rsid w:val="00183B9F"/>
    <w:rsid w:val="001857F7"/>
    <w:rsid w:val="0019143C"/>
    <w:rsid w:val="001B4D1F"/>
    <w:rsid w:val="001D371C"/>
    <w:rsid w:val="001D4F31"/>
    <w:rsid w:val="001E4722"/>
    <w:rsid w:val="001E76B5"/>
    <w:rsid w:val="001F3563"/>
    <w:rsid w:val="00220BCA"/>
    <w:rsid w:val="002278C5"/>
    <w:rsid w:val="00240AD3"/>
    <w:rsid w:val="0026177B"/>
    <w:rsid w:val="0027183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79DB"/>
    <w:rsid w:val="003E0A32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1743E"/>
    <w:rsid w:val="00525134"/>
    <w:rsid w:val="005313AC"/>
    <w:rsid w:val="00565BD5"/>
    <w:rsid w:val="00566046"/>
    <w:rsid w:val="00566FFB"/>
    <w:rsid w:val="00581985"/>
    <w:rsid w:val="00582E16"/>
    <w:rsid w:val="005B1634"/>
    <w:rsid w:val="005D35EB"/>
    <w:rsid w:val="00604D77"/>
    <w:rsid w:val="00611457"/>
    <w:rsid w:val="00614E34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563E1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B6960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A7A27"/>
    <w:rsid w:val="00AC473F"/>
    <w:rsid w:val="00AD2738"/>
    <w:rsid w:val="00AF65EC"/>
    <w:rsid w:val="00B01A9E"/>
    <w:rsid w:val="00B228EF"/>
    <w:rsid w:val="00B36806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3049D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CE523C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DF6847"/>
    <w:rsid w:val="00E12693"/>
    <w:rsid w:val="00E22EB6"/>
    <w:rsid w:val="00E241F6"/>
    <w:rsid w:val="00E3647F"/>
    <w:rsid w:val="00E41FC5"/>
    <w:rsid w:val="00E5255C"/>
    <w:rsid w:val="00E655CB"/>
    <w:rsid w:val="00EB3E81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